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C8" w:rsidRDefault="003971C8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971C8" w:rsidRDefault="003971C8">
      <w:pPr>
        <w:pStyle w:val="ConsPlusNormal"/>
        <w:jc w:val="both"/>
        <w:outlineLvl w:val="0"/>
      </w:pPr>
    </w:p>
    <w:p w:rsidR="003971C8" w:rsidRDefault="003971C8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3971C8" w:rsidRDefault="003971C8">
      <w:pPr>
        <w:pStyle w:val="ConsPlusTitle"/>
        <w:jc w:val="both"/>
      </w:pPr>
    </w:p>
    <w:p w:rsidR="003971C8" w:rsidRDefault="003971C8">
      <w:pPr>
        <w:pStyle w:val="ConsPlusTitle"/>
        <w:jc w:val="center"/>
      </w:pPr>
      <w:r>
        <w:t>ПОСТАНОВЛЕНИЕ</w:t>
      </w:r>
    </w:p>
    <w:p w:rsidR="003971C8" w:rsidRDefault="003971C8">
      <w:pPr>
        <w:pStyle w:val="ConsPlusTitle"/>
        <w:jc w:val="center"/>
      </w:pPr>
      <w:r>
        <w:t>от 11 августа 2023 г. N 1014</w:t>
      </w:r>
    </w:p>
    <w:p w:rsidR="003971C8" w:rsidRDefault="003971C8">
      <w:pPr>
        <w:pStyle w:val="ConsPlusTitle"/>
        <w:jc w:val="both"/>
      </w:pPr>
    </w:p>
    <w:p w:rsidR="003971C8" w:rsidRDefault="003971C8">
      <w:pPr>
        <w:pStyle w:val="ConsPlusTitle"/>
        <w:jc w:val="center"/>
      </w:pPr>
      <w:r>
        <w:t>ОБ УТВЕРЖДЕНИИ ПРОЕКТА МЕЖЕВАНИЯ ТЕРРИТОРИИ, ОГРАНИЧЕННОЙ</w:t>
      </w:r>
    </w:p>
    <w:p w:rsidR="003971C8" w:rsidRDefault="003971C8">
      <w:pPr>
        <w:pStyle w:val="ConsPlusTitle"/>
        <w:jc w:val="center"/>
      </w:pPr>
      <w:r>
        <w:t xml:space="preserve">УЛ. КОМПОЗИТОРА СТАВОНИНА, УЛ. </w:t>
      </w:r>
      <w:proofErr w:type="gramStart"/>
      <w:r>
        <w:t>АРХИТЕКТУРНАЯ</w:t>
      </w:r>
      <w:proofErr w:type="gramEnd"/>
      <w:r>
        <w:t>, УЛ. ОЧАКОВСКАЯ</w:t>
      </w:r>
    </w:p>
    <w:p w:rsidR="003971C8" w:rsidRDefault="003971C8">
      <w:pPr>
        <w:pStyle w:val="ConsPlusTitle"/>
        <w:jc w:val="center"/>
      </w:pPr>
      <w:r>
        <w:t>В ГОРОДСКОМ ОКРУГЕ ГОРОД ВОРОНЕЖ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</w:t>
      </w:r>
      <w:proofErr w:type="gramEnd"/>
      <w:r>
        <w:t xml:space="preserve">", </w:t>
      </w:r>
      <w:proofErr w:type="gramStart"/>
      <w:r>
        <w:t xml:space="preserve">на основании постановления главы городского округа город Воронеж от 31.05.2023 N 103 "О назначении общественных обсуждений по проекту межевания территории, ограниченной ул. Композитора Ставонина, ул. Архитектурная, ул. Очаковская в городском округе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20.04.2022 N 466-V "Об утверждении Правил землепользования и застройки городского округа город Воронеж</w:t>
      </w:r>
      <w:proofErr w:type="gramEnd"/>
      <w:r>
        <w:t xml:space="preserve">", </w:t>
      </w:r>
      <w:proofErr w:type="gramStart"/>
      <w:r>
        <w:t xml:space="preserve">в соответствии со </w:t>
      </w:r>
      <w:hyperlink r:id="rId9">
        <w:r>
          <w:rPr>
            <w:color w:val="0000FF"/>
          </w:rPr>
          <w:t>статьями 45</w:t>
        </w:r>
      </w:hyperlink>
      <w:r>
        <w:t xml:space="preserve">, </w:t>
      </w:r>
      <w:hyperlink r:id="rId10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статьей 28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2">
        <w:r>
          <w:rPr>
            <w:color w:val="0000FF"/>
          </w:rPr>
          <w:t>статьей 46</w:t>
        </w:r>
      </w:hyperlink>
      <w:r>
        <w:t xml:space="preserve"> Устава городского округа город Воронеж, принятого постановлением Воронежской городской Думы от 27.10.2004 N 150-I "Об Уставе городского округа город Воронеж", с учетом заключения комиссии по землепользованию и застройке городского округа город</w:t>
      </w:r>
      <w:proofErr w:type="gramEnd"/>
      <w:r>
        <w:t xml:space="preserve"> Воронеж от 23.06.2023 о результатах общественных обсуждений по проекту межевания территории, ограниченной ул. Композитора Ставонина, ул. Архитектурная, ул. Очаковская в городском округе город Воронеж, администрация городского округа город Воронеж постановляет: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>
        <w:r>
          <w:rPr>
            <w:color w:val="0000FF"/>
          </w:rPr>
          <w:t>проект</w:t>
        </w:r>
      </w:hyperlink>
      <w:r>
        <w:t xml:space="preserve"> межевания территории, ограниченной ул. Композитора Ставонина, ул. </w:t>
      </w:r>
      <w:proofErr w:type="gramStart"/>
      <w:r>
        <w:t>Архитектурная</w:t>
      </w:r>
      <w:proofErr w:type="gramEnd"/>
      <w:r>
        <w:t>, ул. Очаковская в городском округе город Воронеж.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2. Настоящее постановление вступает в силу в день его опубликования в газете "Берег".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3971C8" w:rsidRDefault="003971C8">
      <w:pPr>
        <w:pStyle w:val="ConsPlusNormal"/>
        <w:jc w:val="right"/>
      </w:pPr>
      <w:r>
        <w:t>округа город Воронеж</w:t>
      </w:r>
    </w:p>
    <w:p w:rsidR="003971C8" w:rsidRDefault="003971C8">
      <w:pPr>
        <w:pStyle w:val="ConsPlusNormal"/>
        <w:jc w:val="right"/>
      </w:pPr>
      <w:r>
        <w:t>В.Ю.КСТЕНИН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0"/>
      </w:pPr>
      <w:r>
        <w:t>Утвержден</w:t>
      </w:r>
    </w:p>
    <w:p w:rsidR="003971C8" w:rsidRDefault="003971C8">
      <w:pPr>
        <w:pStyle w:val="ConsPlusNormal"/>
        <w:jc w:val="right"/>
      </w:pPr>
      <w:r>
        <w:t>постановлением</w:t>
      </w:r>
    </w:p>
    <w:p w:rsidR="003971C8" w:rsidRDefault="003971C8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3971C8" w:rsidRDefault="003971C8">
      <w:pPr>
        <w:pStyle w:val="ConsPlusNormal"/>
        <w:jc w:val="right"/>
      </w:pPr>
      <w:r>
        <w:t>округа город Воронеж</w:t>
      </w:r>
    </w:p>
    <w:p w:rsidR="003971C8" w:rsidRDefault="003971C8">
      <w:pPr>
        <w:pStyle w:val="ConsPlusNormal"/>
        <w:jc w:val="right"/>
      </w:pPr>
      <w:r>
        <w:t>от 11.08.2023 N 1014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Title"/>
        <w:jc w:val="center"/>
      </w:pPr>
      <w:bookmarkStart w:id="0" w:name="P28"/>
      <w:bookmarkEnd w:id="0"/>
      <w:r>
        <w:t>ПРОЕКТ</w:t>
      </w:r>
    </w:p>
    <w:p w:rsidR="003971C8" w:rsidRDefault="003971C8">
      <w:pPr>
        <w:pStyle w:val="ConsPlusTitle"/>
        <w:jc w:val="center"/>
      </w:pPr>
      <w:r>
        <w:t>МЕЖЕВАНИЯ ТЕРРИТОРИИ, ОГРАНИЧЕННОЙ УЛ. КОМПОЗИТОРА</w:t>
      </w:r>
    </w:p>
    <w:p w:rsidR="003971C8" w:rsidRDefault="003971C8">
      <w:pPr>
        <w:pStyle w:val="ConsPlusTitle"/>
        <w:jc w:val="center"/>
      </w:pPr>
      <w:r>
        <w:lastRenderedPageBreak/>
        <w:t>СТАВОНИНА, УЛ. АРХИТЕКТУРНАЯ, УЛ. ОЧАКОВСКАЯ</w:t>
      </w:r>
    </w:p>
    <w:p w:rsidR="003971C8" w:rsidRDefault="003971C8">
      <w:pPr>
        <w:pStyle w:val="ConsPlusTitle"/>
        <w:jc w:val="center"/>
      </w:pPr>
      <w:r>
        <w:t>В ГОРОДСКОМ ОКРУГЕ ГОРОД ВОРОНЕЖ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r>
        <w:t xml:space="preserve">1. Текстовая </w:t>
      </w:r>
      <w:hyperlink w:anchor="P51">
        <w:r>
          <w:rPr>
            <w:color w:val="0000FF"/>
          </w:rPr>
          <w:t>часть</w:t>
        </w:r>
      </w:hyperlink>
      <w:r>
        <w:t xml:space="preserve"> проекта межевания территории, ограниченной ул. Композитора Ставонина, ул. Архитектурная, ул. Очаковская в городском округе город Воронеж (приложение N 1).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2. Чертеж межевания территории, ограниченной ул. Композитора Ставонина, ул. </w:t>
      </w:r>
      <w:proofErr w:type="gramStart"/>
      <w:r>
        <w:t>Архитектурная</w:t>
      </w:r>
      <w:proofErr w:type="gramEnd"/>
      <w:r>
        <w:t>, ул. Очаковская в городском округе город Воронеж (приложение N 2 - не приводится).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</w:pPr>
      <w:r>
        <w:t>Руководитель управления</w:t>
      </w:r>
    </w:p>
    <w:p w:rsidR="003971C8" w:rsidRDefault="003971C8">
      <w:pPr>
        <w:pStyle w:val="ConsPlusNormal"/>
        <w:jc w:val="right"/>
      </w:pPr>
      <w:r>
        <w:t>главного архитектора</w:t>
      </w:r>
    </w:p>
    <w:p w:rsidR="003971C8" w:rsidRDefault="003971C8">
      <w:pPr>
        <w:pStyle w:val="ConsPlusNormal"/>
        <w:jc w:val="right"/>
      </w:pPr>
      <w:r>
        <w:t>Г.Ю.ЧУРСАНОВ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1"/>
      </w:pPr>
      <w:r>
        <w:t>Приложение N 1</w:t>
      </w:r>
    </w:p>
    <w:p w:rsidR="003971C8" w:rsidRDefault="003971C8">
      <w:pPr>
        <w:pStyle w:val="ConsPlusNormal"/>
        <w:jc w:val="right"/>
      </w:pPr>
      <w:r>
        <w:t>к проекту</w:t>
      </w:r>
    </w:p>
    <w:p w:rsidR="003971C8" w:rsidRDefault="003971C8">
      <w:pPr>
        <w:pStyle w:val="ConsPlusNormal"/>
        <w:jc w:val="right"/>
      </w:pPr>
      <w:r>
        <w:t>межевания территории,</w:t>
      </w:r>
    </w:p>
    <w:p w:rsidR="003971C8" w:rsidRDefault="003971C8">
      <w:pPr>
        <w:pStyle w:val="ConsPlusNormal"/>
        <w:jc w:val="right"/>
      </w:pPr>
      <w:proofErr w:type="gramStart"/>
      <w:r>
        <w:t>ограниченной</w:t>
      </w:r>
      <w:proofErr w:type="gramEnd"/>
      <w:r>
        <w:t xml:space="preserve"> ул. Композитора Ставонина,</w:t>
      </w:r>
    </w:p>
    <w:p w:rsidR="003971C8" w:rsidRDefault="003971C8">
      <w:pPr>
        <w:pStyle w:val="ConsPlusNormal"/>
        <w:jc w:val="right"/>
      </w:pPr>
      <w:r>
        <w:t>ул. Архитектурная, ул. Очаковская</w:t>
      </w:r>
    </w:p>
    <w:p w:rsidR="003971C8" w:rsidRDefault="003971C8">
      <w:pPr>
        <w:pStyle w:val="ConsPlusNormal"/>
        <w:jc w:val="right"/>
      </w:pPr>
      <w:r>
        <w:t>в городском округе город Воронеж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Title"/>
        <w:jc w:val="center"/>
      </w:pPr>
      <w:bookmarkStart w:id="1" w:name="P51"/>
      <w:bookmarkEnd w:id="1"/>
      <w:r>
        <w:t>ТЕКСТОВАЯ ЧАСТЬ</w:t>
      </w:r>
    </w:p>
    <w:p w:rsidR="003971C8" w:rsidRDefault="003971C8">
      <w:pPr>
        <w:pStyle w:val="ConsPlusTitle"/>
        <w:jc w:val="center"/>
      </w:pPr>
      <w:r>
        <w:t>ПРОЕКТА МЕЖЕВАНИЯ ТЕРРИТОРИИ, ОГРАНИЧЕННОЙ</w:t>
      </w:r>
    </w:p>
    <w:p w:rsidR="003971C8" w:rsidRDefault="003971C8">
      <w:pPr>
        <w:pStyle w:val="ConsPlusTitle"/>
        <w:jc w:val="center"/>
      </w:pPr>
      <w:r>
        <w:t xml:space="preserve">УЛ. КОМПОЗИТОРА СТАВОНИНА, УЛ. </w:t>
      </w:r>
      <w:proofErr w:type="gramStart"/>
      <w:r>
        <w:t>АРХИТЕКТУРНАЯ</w:t>
      </w:r>
      <w:proofErr w:type="gramEnd"/>
      <w:r>
        <w:t>, УЛ. ОЧАКОВСКАЯ</w:t>
      </w:r>
    </w:p>
    <w:p w:rsidR="003971C8" w:rsidRDefault="003971C8">
      <w:pPr>
        <w:pStyle w:val="ConsPlusTitle"/>
        <w:jc w:val="center"/>
      </w:pPr>
      <w:r>
        <w:t>В ГОРОДСКОМ ОКРУГЕ ГОРОД ВОРОНЕЖ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proofErr w:type="gramStart"/>
      <w:r>
        <w:t xml:space="preserve">Проект межевания территории, ограниченной ул. Композитора Ставонина, ул. Архитектурная, ул. Очаковская в городском округе город Воронеж, разработан на основании муниципального контракта от 27.09.2022 N 10/ПМТ, технического задания к нему, Генерального </w:t>
      </w:r>
      <w:hyperlink r:id="rId13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</w:t>
      </w:r>
      <w:proofErr w:type="gramEnd"/>
      <w:r>
        <w:t xml:space="preserve"> </w:t>
      </w:r>
      <w:proofErr w:type="gramStart"/>
      <w:r>
        <w:t xml:space="preserve">годы" (далее - Генеральный план), </w:t>
      </w:r>
      <w:hyperlink r:id="rId14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20.04.2022 N 466-V "Об утверждении Правил землепользования и застройки городского округа город Воронеж" (далее - Правила), в соответствии с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02.04.2022 N 575 "Об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</w:t>
      </w:r>
      <w:proofErr w:type="gramEnd"/>
      <w:r>
        <w:t xml:space="preserve">, выдачи разрешений на строительство объектов капитального строительства, разрешений на ввод в эксплуатацию", требованиями Градостроительного </w:t>
      </w:r>
      <w:hyperlink r:id="rId16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7">
        <w:r>
          <w:rPr>
            <w:color w:val="0000FF"/>
          </w:rPr>
          <w:t>ч. 2 ст. 43</w:t>
        </w:r>
      </w:hyperlink>
      <w:r>
        <w:t xml:space="preserve"> Градостроительного кодекса Российской Федерации подготовка проекта межевания территории осуществляется: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- для определения местоположения границ образуемых и изменяемых земельных участков;</w:t>
      </w:r>
    </w:p>
    <w:p w:rsidR="003971C8" w:rsidRDefault="003971C8">
      <w:pPr>
        <w:pStyle w:val="ConsPlusNormal"/>
        <w:spacing w:before="220"/>
        <w:ind w:firstLine="540"/>
        <w:jc w:val="both"/>
      </w:pPr>
      <w:proofErr w:type="gramStart"/>
      <w:r>
        <w:t xml:space="preserve">- для установления, изменения, отмены красных линий для застроенных территорий, в </w:t>
      </w:r>
      <w:r>
        <w:lastRenderedPageBreak/>
        <w:t>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>
        <w:t xml:space="preserve"> влекут за собой исключительно изменение границ территории общего пользования.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18">
        <w:r>
          <w:rPr>
            <w:color w:val="0000FF"/>
          </w:rPr>
          <w:t>ч. 4 ст. 41</w:t>
        </w:r>
      </w:hyperlink>
      <w:r>
        <w:t xml:space="preserve">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территории.</w:t>
      </w:r>
    </w:p>
    <w:p w:rsidR="003971C8" w:rsidRDefault="003971C8">
      <w:pPr>
        <w:pStyle w:val="ConsPlusNormal"/>
        <w:spacing w:before="220"/>
        <w:ind w:firstLine="540"/>
        <w:jc w:val="both"/>
      </w:pPr>
      <w:proofErr w:type="gramStart"/>
      <w: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3971C8" w:rsidRDefault="003971C8">
      <w:pPr>
        <w:pStyle w:val="ConsPlusNormal"/>
        <w:spacing w:before="220"/>
        <w:ind w:firstLine="540"/>
        <w:jc w:val="both"/>
      </w:pPr>
      <w: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Рассматриваемая территория площадью 2,25 га расположена в Коминтерновском районе городского округа город Воронеж в границах ул. Композитора Ставонина, ул. Архитектурная, ул. Очаковская.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Согласно Генеральному плану рассматриваемая территория расположена в функциональной зоне застройки индивидуальными жилыми домами (101).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Согласно Правилам проектируемая территория расположена в территориальной </w:t>
      </w:r>
      <w:hyperlink r:id="rId19">
        <w:r>
          <w:rPr>
            <w:color w:val="0000FF"/>
          </w:rPr>
          <w:t>зоне ЖИ</w:t>
        </w:r>
      </w:hyperlink>
      <w:r>
        <w:t xml:space="preserve"> "Зона индивидуальной жилой застройки". 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Перечень координат характерных точек границ территории, ограниченной ул. Композитора Ставонина, ул. </w:t>
      </w:r>
      <w:proofErr w:type="gramStart"/>
      <w:r>
        <w:t>Архитектурная</w:t>
      </w:r>
      <w:proofErr w:type="gramEnd"/>
      <w:r>
        <w:t>, ул. Очаковская в городском округе город Воронеж, в отношении которой разработан проект межевания территории, приведен в таблице N 1.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2"/>
      </w:pPr>
      <w:r>
        <w:t>Таблица N 1</w:t>
      </w:r>
    </w:p>
    <w:p w:rsidR="003971C8" w:rsidRDefault="003971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08"/>
        <w:gridCol w:w="2409"/>
      </w:tblGrid>
      <w:tr w:rsidR="003971C8">
        <w:tc>
          <w:tcPr>
            <w:tcW w:w="2041" w:type="dxa"/>
            <w:vMerge w:val="restart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817" w:type="dxa"/>
            <w:gridSpan w:val="2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3971C8">
        <w:tc>
          <w:tcPr>
            <w:tcW w:w="2041" w:type="dxa"/>
            <w:vMerge/>
          </w:tcPr>
          <w:p w:rsidR="003971C8" w:rsidRDefault="003971C8">
            <w:pPr>
              <w:pStyle w:val="ConsPlusNormal"/>
            </w:pP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Y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520216.59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1295139.79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520161.45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1295232.20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519981.70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1295123.81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520037.22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1295032.50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520216.59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1295139.79</w:t>
            </w:r>
          </w:p>
        </w:tc>
      </w:tr>
    </w:tbl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территории.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0">
        <w:r>
          <w:rPr>
            <w:color w:val="0000FF"/>
          </w:rPr>
          <w:t>ст. 21</w:t>
        </w:r>
      </w:hyperlink>
      <w:r>
        <w:t xml:space="preserve"> </w:t>
      </w:r>
      <w:proofErr w:type="gramStart"/>
      <w:r>
        <w:t>Правил</w:t>
      </w:r>
      <w:proofErr w:type="gramEnd"/>
      <w:r>
        <w:t xml:space="preserve">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В границах территории расположены охранные зоны транспорта, утвержденные </w:t>
      </w:r>
      <w:hyperlink r:id="rId21">
        <w:r>
          <w:rPr>
            <w:color w:val="0000FF"/>
          </w:rPr>
          <w:t>Приказом</w:t>
        </w:r>
      </w:hyperlink>
      <w:r>
        <w:t xml:space="preserve"> Росавиации от 26.02.2021 N 113-П "Об установлении приаэродромной территор</w:t>
      </w:r>
      <w:proofErr w:type="gramStart"/>
      <w:r>
        <w:t>ии аэ</w:t>
      </w:r>
      <w:proofErr w:type="gramEnd"/>
      <w:r>
        <w:t>родрома Воронеж (Чертовицкое)":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- приаэродромная территория аэродрома Воронеж (Чертовицкое) (часть 1);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- третья подзона приаэродромной территор</w:t>
      </w:r>
      <w:proofErr w:type="gramStart"/>
      <w:r>
        <w:t>ии аэ</w:t>
      </w:r>
      <w:proofErr w:type="gramEnd"/>
      <w:r>
        <w:t>родрома Воронеж (Чертовицкое);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- четвертая подзона приаэродромной территор</w:t>
      </w:r>
      <w:proofErr w:type="gramStart"/>
      <w:r>
        <w:t>ии аэ</w:t>
      </w:r>
      <w:proofErr w:type="gramEnd"/>
      <w:r>
        <w:t>родрома Воронеж (Чертовицкое) (часть 1);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- пятая подзона приаэродромной территор</w:t>
      </w:r>
      <w:proofErr w:type="gramStart"/>
      <w:r>
        <w:t>ии аэ</w:t>
      </w:r>
      <w:proofErr w:type="gramEnd"/>
      <w:r>
        <w:t>родрома Воронеж (Чертовицкое);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- шестая подзона приаэродромной территор</w:t>
      </w:r>
      <w:proofErr w:type="gramStart"/>
      <w:r>
        <w:t>ии аэ</w:t>
      </w:r>
      <w:proofErr w:type="gramEnd"/>
      <w:r>
        <w:t>родрома Воронеж (Чертовицкое).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Планировочными ограничениями для рассматриваемой территории являются охранные зоны инженерных сетей. Наличие охранной зоны обеспечивает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должны производиться только на основании письменных разрешений организаций, осуществляющих эксплуатацию данных коммуникаций.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2">
        <w:r>
          <w:rPr>
            <w:color w:val="0000FF"/>
          </w:rPr>
          <w:t>ч. 1 ст. 11.2</w:t>
        </w:r>
      </w:hyperlink>
      <w:r>
        <w:t xml:space="preserve">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3">
        <w:r>
          <w:rPr>
            <w:color w:val="0000FF"/>
          </w:rPr>
          <w:t>п. 9 ст. 1</w:t>
        </w:r>
      </w:hyperlink>
      <w:r>
        <w:t xml:space="preserve">, </w:t>
      </w:r>
      <w:hyperlink r:id="rId24">
        <w:r>
          <w:rPr>
            <w:color w:val="0000FF"/>
          </w:rPr>
          <w:t>ч. 2</w:t>
        </w:r>
      </w:hyperlink>
      <w:r>
        <w:t xml:space="preserve"> и </w:t>
      </w:r>
      <w:hyperlink r:id="rId25">
        <w:r>
          <w:rPr>
            <w:color w:val="0000FF"/>
          </w:rPr>
          <w:t>6 ст. 30</w:t>
        </w:r>
      </w:hyperlink>
      <w:r>
        <w:t xml:space="preserve">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lastRenderedPageBreak/>
        <w:t>Проектом межевания территории предлагается образовать 3 земельных участка,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 муниципальных нужд, а также утвердить красные линии.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:ЗУ</w:t>
      </w:r>
      <w:proofErr w:type="gramStart"/>
      <w:r>
        <w:t>1</w:t>
      </w:r>
      <w:proofErr w:type="gramEnd"/>
    </w:p>
    <w:p w:rsidR="003971C8" w:rsidRDefault="003971C8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1614 кв. м по ул. Композитора Ставонина.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Земельный участок расположен в территориальной </w:t>
      </w:r>
      <w:hyperlink r:id="rId26">
        <w:r>
          <w:rPr>
            <w:color w:val="0000FF"/>
          </w:rPr>
          <w:t>зоне ЖИ</w:t>
        </w:r>
      </w:hyperlink>
      <w:r>
        <w:t xml:space="preserve">. </w:t>
      </w:r>
      <w:hyperlink r:id="rId27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классификатором видов разрешенного использования земельных участков, утвержденным Приказом Федеральной службы государственной регистрации, кадастра и картографии от 10.11.2020 N </w:t>
      </w:r>
      <w:proofErr w:type="gramStart"/>
      <w:r>
        <w:t>П</w:t>
      </w:r>
      <w:proofErr w:type="gramEnd"/>
      <w:r>
        <w:t>/0412 (далее - Классификатор), как "Благоустройство территории".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Границы участка определены в соответствии с поставленными на кадастровый учет смежными земельными участками, границами территориальной зоны, картографической подосновой, а также элементами планировочной структуры.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2.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2"/>
      </w:pPr>
      <w:r>
        <w:t>Таблица N 2</w:t>
      </w:r>
    </w:p>
    <w:p w:rsidR="003971C8" w:rsidRDefault="003971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08"/>
        <w:gridCol w:w="2409"/>
      </w:tblGrid>
      <w:tr w:rsidR="003971C8">
        <w:tc>
          <w:tcPr>
            <w:tcW w:w="2041" w:type="dxa"/>
            <w:vMerge w:val="restart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817" w:type="dxa"/>
            <w:gridSpan w:val="2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3971C8">
        <w:tc>
          <w:tcPr>
            <w:tcW w:w="2041" w:type="dxa"/>
            <w:vMerge/>
          </w:tcPr>
          <w:p w:rsidR="003971C8" w:rsidRDefault="003971C8">
            <w:pPr>
              <w:pStyle w:val="ConsPlusNormal"/>
            </w:pP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Y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520167.38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1295151.88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520160.69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1295163.05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520160.43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1295163.22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520149.39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1295182.15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520148.95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1295182.83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520148.85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1295182.77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520149.24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1295182.12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520144.06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1295178.98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520143.73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1295179.64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520131.76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1295172.52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520129.28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1295170.73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520127.84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1295169.69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520109.81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1295159.03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520109.18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1295158.69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520109.34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1295158.39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520126.56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1295129.70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520127.45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1295128.21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520128.62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1295128.91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520127.82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1295130.47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520146.22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1295141.40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520147.10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1295139.98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520167.38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1295151.88</w:t>
            </w:r>
          </w:p>
        </w:tc>
      </w:tr>
    </w:tbl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r>
        <w:t>:ЗУ</w:t>
      </w:r>
      <w:proofErr w:type="gramStart"/>
      <w:r>
        <w:t>2</w:t>
      </w:r>
      <w:proofErr w:type="gramEnd"/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Проектом межевания предлагается образовать земельный участок площадью 144 кв. м по ул. </w:t>
      </w:r>
      <w:proofErr w:type="gramStart"/>
      <w:r>
        <w:t>Архитектурная</w:t>
      </w:r>
      <w:proofErr w:type="gramEnd"/>
      <w:r>
        <w:t>, между домами N 35/2 и N 39/1.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28">
        <w:r>
          <w:rPr>
            <w:color w:val="0000FF"/>
          </w:rPr>
          <w:t>зоне ЖИ</w:t>
        </w:r>
      </w:hyperlink>
      <w:r>
        <w:t xml:space="preserve">. </w:t>
      </w:r>
      <w:hyperlink r:id="rId29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Классификатором как "Улично-дорожная сеть".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Границы участка определены в соответствии с поставленными на кадастровый учет смежными земельными участками, границами территориальной зоны, картографической подосновой, а также элементами планировочной структуры.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3.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2"/>
      </w:pPr>
      <w:r>
        <w:t>Таблица N 3</w:t>
      </w:r>
    </w:p>
    <w:p w:rsidR="003971C8" w:rsidRDefault="003971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08"/>
        <w:gridCol w:w="2409"/>
      </w:tblGrid>
      <w:tr w:rsidR="003971C8">
        <w:tc>
          <w:tcPr>
            <w:tcW w:w="2041" w:type="dxa"/>
            <w:vMerge w:val="restart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817" w:type="dxa"/>
            <w:gridSpan w:val="2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3971C8">
        <w:tc>
          <w:tcPr>
            <w:tcW w:w="2041" w:type="dxa"/>
            <w:vMerge/>
          </w:tcPr>
          <w:p w:rsidR="003971C8" w:rsidRDefault="003971C8">
            <w:pPr>
              <w:pStyle w:val="ConsPlusNormal"/>
            </w:pP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Y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520065.26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1295143.81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520052.68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1295164.25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520047.57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1295161.11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520060.15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1295140.67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520065.26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1295143.81</w:t>
            </w:r>
          </w:p>
        </w:tc>
      </w:tr>
    </w:tbl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r>
        <w:t>:ЗУ3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Проектом межевания предлагается образовать земельный участок площадью 1240 кв. м по </w:t>
      </w:r>
      <w:r>
        <w:lastRenderedPageBreak/>
        <w:t xml:space="preserve">ул. </w:t>
      </w:r>
      <w:proofErr w:type="gramStart"/>
      <w:r>
        <w:t>Архитектурная</w:t>
      </w:r>
      <w:proofErr w:type="gramEnd"/>
      <w:r>
        <w:t>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Данный земельный участок образуется из земель, государственная собственность на которые не разграничена.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30">
        <w:r>
          <w:rPr>
            <w:color w:val="0000FF"/>
          </w:rPr>
          <w:t>зоне ЖИ</w:t>
        </w:r>
      </w:hyperlink>
      <w:r>
        <w:t xml:space="preserve">. </w:t>
      </w:r>
      <w:hyperlink r:id="rId31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Классификатором как "Улично-дорожная сеть".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Земельный участок формируется для обеспечения доступа жителей микрорайона к жилым домам.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Границы участка определены в соответствии с поставленными на кадастровый учет смежными земельными участками, границами территориальной зоны, картографической подосновой, а также элементами планировочной структуры.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4.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2"/>
      </w:pPr>
      <w:r>
        <w:t>Таблица N 4</w:t>
      </w:r>
    </w:p>
    <w:p w:rsidR="003971C8" w:rsidRDefault="003971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08"/>
        <w:gridCol w:w="2409"/>
      </w:tblGrid>
      <w:tr w:rsidR="003971C8">
        <w:tc>
          <w:tcPr>
            <w:tcW w:w="2041" w:type="dxa"/>
            <w:vMerge w:val="restart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817" w:type="dxa"/>
            <w:gridSpan w:val="2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3971C8">
        <w:tc>
          <w:tcPr>
            <w:tcW w:w="2041" w:type="dxa"/>
            <w:vMerge/>
          </w:tcPr>
          <w:p w:rsidR="003971C8" w:rsidRDefault="003971C8">
            <w:pPr>
              <w:pStyle w:val="ConsPlusNormal"/>
            </w:pP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Y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520109.81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1295159.03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520104.26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1295167.82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520091.25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1295159.81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520078.24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1295151.80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520065.26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1295143.81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520060.15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1295140.67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520045.80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1295131.83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520021.15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1295116.66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519996.74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1295101.62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520001.66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1295093.63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520031.12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1295111.38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520042.13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1295117.99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520050.40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1295122.95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520070.10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1295134.78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520069.84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1295135.21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520089.59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1295146.80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lastRenderedPageBreak/>
              <w:t>46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520089.22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1295147.42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520108.99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1295159.01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520109.18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1295158.69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520109.81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1295159.03</w:t>
            </w:r>
          </w:p>
        </w:tc>
      </w:tr>
    </w:tbl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r>
        <w:t>Настоящим проектом межевания не предусмотрено установление сервитутов.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Проектом межевания территории утверждаются красные линии с учетом Правил,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нормативных правовых актов.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 xml:space="preserve">Линии отступа от красных линий в целях определения мест допустимого размещения зданий, строений, сооружений приняты на расстоянии 3 метров. Со стороны ул. </w:t>
      </w:r>
      <w:proofErr w:type="gramStart"/>
      <w:r>
        <w:t>Архитектурная</w:t>
      </w:r>
      <w:proofErr w:type="gramEnd"/>
      <w:r>
        <w:t xml:space="preserve"> линии отступа установлены на расстоянии 15 метров от красных линий, расположенных на противоположной стороне улицы, на территории, не вошедшей в границы проектирования.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Ведомость координат характерных точек утверждаемых красных линий представлена в таблице N 5.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2"/>
      </w:pPr>
      <w:r>
        <w:t>Таблица N 5</w:t>
      </w:r>
    </w:p>
    <w:p w:rsidR="003971C8" w:rsidRDefault="003971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08"/>
        <w:gridCol w:w="2409"/>
      </w:tblGrid>
      <w:tr w:rsidR="003971C8">
        <w:tc>
          <w:tcPr>
            <w:tcW w:w="2041" w:type="dxa"/>
            <w:vMerge w:val="restart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817" w:type="dxa"/>
            <w:gridSpan w:val="2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3971C8">
        <w:tc>
          <w:tcPr>
            <w:tcW w:w="2041" w:type="dxa"/>
            <w:vMerge/>
          </w:tcPr>
          <w:p w:rsidR="003971C8" w:rsidRDefault="003971C8">
            <w:pPr>
              <w:pStyle w:val="ConsPlusNormal"/>
            </w:pP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Y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520214.46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1295139.77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520215.09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1295140.14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520202.52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1295161.35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520190.69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1295181.08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520173.27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1295210.96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520161.05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1295230.27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520091.15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1295189.12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519983.78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1295122.67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519984.15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1295122.07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519996.74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1295101.62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520021.15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1295116.66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520045.80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1295131.83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520060.15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1295140.67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520065.26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1295143.81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520078.24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1295151.80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520104.26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1295167.82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520109.58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1295159.38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520089.22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1295147.42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520069.84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1295135.21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520001.63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1295093.68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520037.66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1295033.66</w:t>
            </w:r>
          </w:p>
        </w:tc>
      </w:tr>
      <w:tr w:rsidR="003971C8">
        <w:tc>
          <w:tcPr>
            <w:tcW w:w="2041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520214.46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1295139.77</w:t>
            </w:r>
          </w:p>
        </w:tc>
      </w:tr>
    </w:tbl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r>
        <w:t>Ведомость координат характерных точек утверждаемых линий отступа от красных линий представлена в таблице N 6.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  <w:outlineLvl w:val="2"/>
      </w:pPr>
      <w:r>
        <w:t>Таблица N 6</w:t>
      </w:r>
    </w:p>
    <w:p w:rsidR="003971C8" w:rsidRDefault="003971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08"/>
        <w:gridCol w:w="2409"/>
      </w:tblGrid>
      <w:tr w:rsidR="003971C8">
        <w:tc>
          <w:tcPr>
            <w:tcW w:w="2041" w:type="dxa"/>
            <w:vMerge w:val="restart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817" w:type="dxa"/>
            <w:gridSpan w:val="2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3971C8">
        <w:tc>
          <w:tcPr>
            <w:tcW w:w="2041" w:type="dxa"/>
            <w:vMerge/>
          </w:tcPr>
          <w:p w:rsidR="003971C8" w:rsidRDefault="003971C8">
            <w:pPr>
              <w:pStyle w:val="ConsPlusNormal"/>
            </w:pPr>
          </w:p>
        </w:tc>
        <w:tc>
          <w:tcPr>
            <w:tcW w:w="2408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09" w:type="dxa"/>
            <w:vAlign w:val="center"/>
          </w:tcPr>
          <w:p w:rsidR="003971C8" w:rsidRDefault="003971C8">
            <w:pPr>
              <w:pStyle w:val="ConsPlusNormal"/>
              <w:jc w:val="center"/>
            </w:pPr>
            <w:r>
              <w:t>Y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520161.65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1295223.50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519989.02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1295119.89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519997.72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1295105.75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520019.58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1295119.21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520044.23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1295134.38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520058.58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1295143.23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520063.69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1295146.37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520076.67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1295154.35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520105.21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1295171.93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520113.77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1295158.37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520090.78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1295144.86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520071.42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1295132.66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520005.77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1295092.62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520038.69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1295037.78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520210.99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1295141.19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520199.94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1295159.82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520188.11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1295179.55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520170.71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1295209.40</w:t>
            </w:r>
          </w:p>
        </w:tc>
      </w:tr>
      <w:tr w:rsidR="003971C8">
        <w:tc>
          <w:tcPr>
            <w:tcW w:w="2041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520161.65</w:t>
            </w:r>
          </w:p>
        </w:tc>
        <w:tc>
          <w:tcPr>
            <w:tcW w:w="2409" w:type="dxa"/>
            <w:vAlign w:val="bottom"/>
          </w:tcPr>
          <w:p w:rsidR="003971C8" w:rsidRDefault="003971C8">
            <w:pPr>
              <w:pStyle w:val="ConsPlusNormal"/>
              <w:jc w:val="center"/>
            </w:pPr>
            <w:r>
              <w:t>1295223.50</w:t>
            </w:r>
          </w:p>
        </w:tc>
      </w:tr>
    </w:tbl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ind w:firstLine="540"/>
        <w:jc w:val="both"/>
      </w:pPr>
      <w: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Проект межевания территории не является основанием для начала строительно-монтажных работ, в том числе ограждения земельных участков, а также для ведения хозяйственной деятельности.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3971C8" w:rsidRDefault="003971C8">
      <w:pPr>
        <w:pStyle w:val="ConsPlusNormal"/>
        <w:spacing w:before="220"/>
        <w:ind w:firstLine="540"/>
        <w:jc w:val="both"/>
      </w:pPr>
      <w: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right"/>
      </w:pPr>
      <w:r>
        <w:t>Руководитель управления</w:t>
      </w:r>
    </w:p>
    <w:p w:rsidR="003971C8" w:rsidRDefault="003971C8">
      <w:pPr>
        <w:pStyle w:val="ConsPlusNormal"/>
        <w:jc w:val="right"/>
      </w:pPr>
      <w:r>
        <w:t>главного архитектора</w:t>
      </w:r>
    </w:p>
    <w:p w:rsidR="003971C8" w:rsidRDefault="003971C8">
      <w:pPr>
        <w:pStyle w:val="ConsPlusNormal"/>
        <w:jc w:val="right"/>
      </w:pPr>
      <w:r>
        <w:t>Г.Ю.ЧУРСАНОВ</w:t>
      </w: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jc w:val="both"/>
      </w:pPr>
    </w:p>
    <w:p w:rsidR="003971C8" w:rsidRDefault="003971C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1FC8" w:rsidRDefault="00DF1FC8">
      <w:bookmarkStart w:id="2" w:name="_GoBack"/>
      <w:bookmarkEnd w:id="2"/>
    </w:p>
    <w:sectPr w:rsidR="00DF1FC8" w:rsidSect="000B3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1C8"/>
    <w:rsid w:val="003971C8"/>
    <w:rsid w:val="00DF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7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71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7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71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101474&amp;dst=100067" TargetMode="External"/><Relationship Id="rId18" Type="http://schemas.openxmlformats.org/officeDocument/2006/relationships/hyperlink" Target="https://login.consultant.ru/link/?req=doc&amp;base=LAW&amp;n=454194&amp;dst=1666" TargetMode="External"/><Relationship Id="rId26" Type="http://schemas.openxmlformats.org/officeDocument/2006/relationships/hyperlink" Target="https://login.consultant.ru/link/?req=doc&amp;base=RLAW181&amp;n=117568&amp;dst=105484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EXP&amp;n=765609" TargetMode="External"/><Relationship Id="rId7" Type="http://schemas.openxmlformats.org/officeDocument/2006/relationships/hyperlink" Target="https://login.consultant.ru/link/?req=doc&amp;base=RLAW181&amp;n=115024" TargetMode="External"/><Relationship Id="rId12" Type="http://schemas.openxmlformats.org/officeDocument/2006/relationships/hyperlink" Target="https://login.consultant.ru/link/?req=doc&amp;base=RLAW181&amp;n=113963&amp;dst=100485" TargetMode="External"/><Relationship Id="rId17" Type="http://schemas.openxmlformats.org/officeDocument/2006/relationships/hyperlink" Target="https://login.consultant.ru/link/?req=doc&amp;base=LAW&amp;n=454194&amp;dst=1398" TargetMode="External"/><Relationship Id="rId25" Type="http://schemas.openxmlformats.org/officeDocument/2006/relationships/hyperlink" Target="https://login.consultant.ru/link/?req=doc&amp;base=LAW&amp;n=454194&amp;dst=100483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4194" TargetMode="External"/><Relationship Id="rId20" Type="http://schemas.openxmlformats.org/officeDocument/2006/relationships/hyperlink" Target="https://login.consultant.ru/link/?req=doc&amp;base=RLAW181&amp;n=117568&amp;dst=100513" TargetMode="External"/><Relationship Id="rId29" Type="http://schemas.openxmlformats.org/officeDocument/2006/relationships/hyperlink" Target="https://login.consultant.ru/link/?req=doc&amp;base=LAW&amp;n=423603&amp;dst=10045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LAW&amp;n=454007&amp;dst=788" TargetMode="External"/><Relationship Id="rId24" Type="http://schemas.openxmlformats.org/officeDocument/2006/relationships/hyperlink" Target="https://login.consultant.ru/link/?req=doc&amp;base=LAW&amp;n=454194&amp;dst=10047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36764" TargetMode="External"/><Relationship Id="rId23" Type="http://schemas.openxmlformats.org/officeDocument/2006/relationships/hyperlink" Target="https://login.consultant.ru/link/?req=doc&amp;base=LAW&amp;n=454194&amp;dst=3321" TargetMode="External"/><Relationship Id="rId28" Type="http://schemas.openxmlformats.org/officeDocument/2006/relationships/hyperlink" Target="https://login.consultant.ru/link/?req=doc&amp;base=RLAW181&amp;n=117568&amp;dst=1054848" TargetMode="External"/><Relationship Id="rId10" Type="http://schemas.openxmlformats.org/officeDocument/2006/relationships/hyperlink" Target="https://login.consultant.ru/link/?req=doc&amp;base=LAW&amp;n=454194&amp;dst=1460" TargetMode="External"/><Relationship Id="rId19" Type="http://schemas.openxmlformats.org/officeDocument/2006/relationships/hyperlink" Target="https://login.consultant.ru/link/?req=doc&amp;base=RLAW181&amp;n=117568&amp;dst=1054848" TargetMode="External"/><Relationship Id="rId31" Type="http://schemas.openxmlformats.org/officeDocument/2006/relationships/hyperlink" Target="https://login.consultant.ru/link/?req=doc&amp;base=LAW&amp;n=423603&amp;dst=1004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4194&amp;dst=3134" TargetMode="External"/><Relationship Id="rId14" Type="http://schemas.openxmlformats.org/officeDocument/2006/relationships/hyperlink" Target="https://login.consultant.ru/link/?req=doc&amp;base=RLAW181&amp;n=117568&amp;dst=100156" TargetMode="External"/><Relationship Id="rId22" Type="http://schemas.openxmlformats.org/officeDocument/2006/relationships/hyperlink" Target="https://login.consultant.ru/link/?req=doc&amp;base=LAW&amp;n=454212&amp;dst=111" TargetMode="External"/><Relationship Id="rId27" Type="http://schemas.openxmlformats.org/officeDocument/2006/relationships/hyperlink" Target="https://login.consultant.ru/link/?req=doc&amp;base=LAW&amp;n=423603&amp;dst=100461" TargetMode="External"/><Relationship Id="rId30" Type="http://schemas.openxmlformats.org/officeDocument/2006/relationships/hyperlink" Target="https://login.consultant.ru/link/?req=doc&amp;base=RLAW181&amp;n=117568&amp;dst=1054848" TargetMode="External"/><Relationship Id="rId8" Type="http://schemas.openxmlformats.org/officeDocument/2006/relationships/hyperlink" Target="https://login.consultant.ru/link/?req=doc&amp;base=RLAW181&amp;n=117568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2026-02-24T08:42:00Z</dcterms:created>
  <dcterms:modified xsi:type="dcterms:W3CDTF">2026-02-24T08:42:00Z</dcterms:modified>
</cp:coreProperties>
</file>